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23 171 vom 3. Februar 2026</w:t>
      </w:r>
    </w:p>
    <w:p>
      <w:r>
        <w:t>VS Kantonsgericht, 2026-02-03, FR</w:t>
      </w:r>
    </w:p>
    <w:p>
      <w:r>
        <w:rPr>
          <w:b/>
        </w:rPr>
        <w:t xml:space="preserve">Quelle: </w:t>
      </w:r>
      <w:r>
        <w:t>https://mcp.opencaselaw.ch/entscheid/vs_gerichte_S1 23 171</w:t>
      </w:r>
    </w:p>
    <w:p>
      <w:r>
        <w:t>FR: VS_GERICHTE S1 23 171 du 3 février 2026</w:t>
      </w:r>
    </w:p>
    <w:p>
      <w:r>
        <w:t>IT: VS_GERICHTE S1 23 171 del 3 febbraio 2026</w:t>
      </w:r>
    </w:p>
    <w:p>
      <w:pPr>
        <w:pStyle w:val="Heading2"/>
      </w:pPr>
      <w:r>
        <w:t>Erwägungen</w:t>
      </w:r>
    </w:p>
    <w:p>
      <w:r>
        <w:rPr>
          <w:b/>
        </w:rPr>
        <w:t>E. 1.1</w:t>
      </w:r>
    </w:p>
    <w:p>
      <w:r>
        <w:t>Selon l'article 1 alinéa 1 de la loi fédéral sur l’assurance-invalidité (LAI), les dispositions de la loi fédérale sur la partie générale du droit des assurances sociales (LPGA) s'appliquent à l'AI (art. 1a à 26bis et 28 à 70), à moins que la LAI n'y déroge expressément. Posté le 16 octobre 2023, le recours à l’encontre de la décision du 15 septembre précédent a été interjeté dans le délai légal de trente jours (art. 60 LPGA), et devant l'instance compétente (art. 56 et 57 LPGA et 69 al. 1 let. a LAI ; art. 81a al. 1 loi cantonale sur la procédure et la juridiction administratives [LPJA]). Il répond par ailleurs aux autres conditions formelles de recevabilité (art. 61 let. b LPGA), de sorte que la Cour doit entrer en matière.</w:t>
      </w:r>
    </w:p>
    <w:p>
      <w:r>
        <w:t>- 10 -</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consid. 7.1 et 144 V 210 consid. 4.3.1). En l’occurrence, si la décision entreprise est postérieure au 1er janvier 2022, le droit potentiel de la recourante à une rente d’invalidité est pour sa part antérieur à cette date (à savoir dès mai 2021 ; art. 29 al. 1 LAI), si bien qu’il doit être examiné selon les normes en vigueur jusqu’au 31 décembre 2021. Les dispositions citées ci-après seront donc mentionnées, sauf avis contraire, dans leur teneur au 31 décembre 2021.</w:t>
      </w:r>
    </w:p>
    <w:p>
      <w:r>
        <w:rPr>
          <w:b/>
        </w:rPr>
        <w:t>E. 2.1</w:t>
      </w:r>
    </w:p>
    <w:p>
      <w:r>
        <w:t>Le litige porte sur la question de savoir si l’OAI était dans son bon droit en octroyant à la recourante qu’un trois-quarts de rente, basé sur un taux d’invalidité de 63 %, pour la période limitée du 1er mai 2021 au 28 février 2022. En l’absence de conclusions relatives à la décision du 21 septembre 2023 niant à la recourante tout droit à des mesures d’ordre professionnel (reclassement et aide au placement), celle-ci est exclue de l’objet de la présente procédure.</w:t>
      </w:r>
    </w:p>
    <w:p>
      <w:r>
        <w:rPr>
          <w:b/>
        </w:rPr>
        <w:t>E. 2.2</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w:t>
      </w:r>
    </w:p>
    <w:p>
      <w:r>
        <w:t>- 11 - L'assuré a droit à une rente si sont reconnues l’existence d’une incapacité de travail d’au moins 40 % en moyenne durant une année et la présence d’une invalidité de 40 % au terme de cette année dite d’attente (art. 28 al. 1 let. b et c LAI).</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132 V 93 consid. 4 et 125 V 256 consid. 4 ; arrêts du Tribunal fédéral 9C_87/2022 du 8 juillet 2022 consid. 6.2.1 et 8C_761/2014 du 15 octobre 2015 consid. 3.4). 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DSM-V (notamment : ATF 143 V 409 consid. 4.5.2 et 141 V 281 consid. 2.2 et 3.2 ; arrêts du Tribunal fédéral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w:t>
      </w:r>
    </w:p>
    <w:p>
      <w:r>
        <w:t>- 12 - procéder à une instruction complémentaire (arrêts du Tribunal fédéral 9C_670/2020 du 28 juillet 2020 consid. 3.2 et 9C_518/2007 du 14 juillet 2008 consid. 3.2).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une telle 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Quant aux médecins traitants qui se concentrent principalement sur la question du traitement médical, leurs rapports n'aboutissent généralement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rPr>
          <w:b/>
        </w:rPr>
        <w:t>E. 2.4</w:t>
      </w:r>
    </w:p>
    <w:p>
      <w:r>
        <w:t>Selon le principe de la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w:t>
      </w:r>
    </w:p>
    <w:p>
      <w:r>
        <w:t>- 13 - considération les plaintes exprimées, qu'il ait été établi en pleine connaissance du dossier (anamnèse), que la description des interférences médicales soit claire et, enfin, que les conclusions de l'expert soient bien motivées (ATF 134 V 231 consid. 5.1, 133 V 450 consid. 11.1.3 et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9C_12/2012 du 20 juillet 2012 consid. 7.1 et les références).</w:t>
      </w:r>
    </w:p>
    <w:p>
      <w:r>
        <w:rPr>
          <w:b/>
        </w:rPr>
        <w:t>E. 2.5</w:t>
      </w:r>
    </w:p>
    <w:p>
      <w:r>
        <w:t>Selon l’article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Le devoir d’instruction subsiste jusqu’à ce que les faits nécessaires à l’examen des prétentions en cause soient suffisamment élucidés (arrêts du Tribunal fédéral 9C_414/2014 du 31 juillet 2014 consid. 3.1.3 et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(ATF 131 I 153 consid. 3 et 124 V 94 consid. 4b ; PIGUET, in : Commentaire romand, Loi sur la partie générale des assurances sociales, Bâle 2025, no 12 ad art. 43 LPGA). A l’inverse, l’assureur ne peut renoncer à mettre en œuvre des mesures d’instruction complémentaires, lorsqu’il apparaît, sur la base du dossier ou des allégations de la</w:t>
      </w:r>
    </w:p>
    <w:p>
      <w:r>
        <w:t>- 14 - personne assurée, que les faits pertinents n’ont pas été établis de manière correcte et complète ou qu’il existe des contradictions insurmontables (ATF 110 V 48 ; arrêt du Tribunal fédéral 8C_794/2016 du 28 avril 2017 consid. 4.2 ; PIGUET, op. cit., no 12 ad art. 43 LPGA).</w:t>
      </w:r>
    </w:p>
    <w:p>
      <w:r>
        <w:rPr>
          <w:b/>
        </w:rPr>
        <w:t>E. 2.6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et la référence).</w:t>
      </w:r>
    </w:p>
    <w:p>
      <w:r>
        <w:rPr>
          <w:b/>
        </w:rPr>
        <w:t>E. 3</w:t>
      </w:r>
    </w:p>
    <w:p>
      <w:r>
        <w:t>kg de manière répétitive, mais indique qu’au vu de celles-ci et de sa grande fatigabilité, elle ne voit pas quelle activité professionnelle serait exigible d’elle. Quoi qu’en dise la recourante, il convient d’admettre que le marché du travail offre un éventail suffisamment large d’activité légères, dont on doit convenir qu’un nombre significatif sont adaptées à ses limitations et accessibles sans aucune formation particulière. Le Tribunal fédéral a d’ailleurs régulièrement retenu qu’une personne quasi mono-manuelle (avec perte du bras dominant) disposait de possibilités suffisantes sur le marché du travail (arrêts du Tribunal fédéral 8C_724/2012 du 8 janvier 2013 consid. 4.3 et les références, 8C_971/2008 du 23 mars 2009 consid. 4.2.5). Ainsi, le fait pour l’intéressée de prétendre qu’il n’existerait sur le marché du travail aucune activité correspondant à sa situation médicale, personnelle et professionnelle, ne lui est d’aucun secours. Pour rappel, l’évaluation de l’invalidité s’effectue au regard d’un marché équilibré du travail, qui est une notion théorique et abstraite impliquant notamment un équilibre entre l’offre et la demande de main d’œuvre ainsi qu’un marché du travail structuré (arrêt du Tribunal fédéral 9C_597/2018 de 18 janvier 2019 consid. 5.2 et les références). Elle ne revient en revanche pas à examiner si un invalide pourrait être placé eu égard aux</w:t>
      </w:r>
    </w:p>
    <w:p>
      <w:r>
        <w:t>- 18 - conditions concrètes du marché du travail – ce qui incombe à l’assurance-chômage (arrêt du Tribunal fédéral 8C_771/2011 du 15 novembre 2012 consid. 4.2).</w:t>
      </w:r>
    </w:p>
    <w:p>
      <w:r>
        <w:rPr>
          <w:b/>
        </w:rPr>
        <w:t>E. 3.1</w:t>
      </w:r>
    </w:p>
    <w:p>
      <w:r>
        <w:t>En l’espèce, la recourante s’en prend tout d’abord à la valeur probante des avis du SMR, sur lesquels l’OAI s’est essentiellement fondé pour rendre sa décision, et reproche à l’intimé d’avoir manqué à son devoir d’instruction. Elle considère en particulier que ses troubles psychologiques et neuropsychologiques, spécialement ses difficultés de concentration et de gestion du temps, ainsi que ses pertes de mémoire, n’ont pas été suffisamment prises en considération. Plutôt que de rendre une décision sur la seule base de ses troubles physiques à l’épaule droite, l’OAI aurait dû mettre en œuvre une expertise pluridisciplinaire afin de traiter son cas au vu de son état de santé global. La recourante ne soulève toutefois aucun argument susceptible de mettre en doute l’appréciation médicale de son état de santé faite par le SMR dans ses rapports successifs (pièces OAI 19, 41, 49 et 59 ; pièce jointe à la réponse du 12 décembre 2023). L’on observe à ce propos que, tout au long de l’instruction médicale, le SMR a analysé les rapports des médecins consultés par l’assurée et a demandé à recevoir le résultat de tous les examens ordonnés par le médecin traitant et les spécialistes. A la requête de la Dresse G __________, l’OAI a notamment demandé des rapports aux deux psychologues qui suivaient l’intéressée, afin d’en savoir plus sur la nature du trouble de l’humeur évoqué par les Drs D __________ et G __________ (pièces OAI 55 et 57). Le SMR a eu à sa disposition l’ensemble du dossier médical de l’assurée et s’est prononcé clairement sur les rapports versés au dossier. La Cour ne voit dès lors aucune raison qui justifierait de s’écarter de l’avis du SMR, lequel est motivé et exempt de contradiction. Aucun reproche ne saurait par ailleurs être émis à l’encontre de l’OAI concernant l’instruction de la présente cause. Comme mentionné au considérant 2.3 ci-dessus, la</w:t>
      </w:r>
    </w:p>
    <w:p>
      <w:r>
        <w:t>- 15 - reconnaissance de l'existence d'une atteinte à la santé psychique suppose la présence d'un diagnostic émanant d'un expert (psychiatre) et s'appuyant selon les règles de l'art sur les critères d'un système de classification reconnu, tel le CIM-10 ou le DSM-V. Or, s'il incombe certes à l'autorité d'instruire le dossier, il n'en demeure pas moins que l'assurée demeure, pour sa part, tenue de collaborer à l'instruction. De ce point de vue, le seul fait qu'elle se plaigne de troubles ayant potentiellement une origine neuropsychologique n’est pas suffisant pour justifier la mise en œuvre d’une expertise pluridisciplinaire si l’on tient compte du fait qu’aucun médecin consulté n’a rapporté de telles plaintes ou préconisé des recherches en ce sens. Il ressort du dossier que la recourante n’a jamais été suivie par un psychiatre et que ses séances avec des psychologues visaient en premier lieu la gestion de la douleur et la diminution d’un état dépressif et d’un stress persistant, consécutifs à la perte de motricité et d’autonomie en lien avec l’événement du 18 juillet 2019. Les seuls traitements mis en œuvre dans ce cadre étaient de l’homéopathie, des compléments alimentaires et des antidépresseurs à base de plantes. En outre, s’il est vrai que tant la CRR (pièce OAI 61, p. 234 ss) que le Dr C __________ (pièce OAI 43) ont mis en évidence l’incidence des problèmes d’ordre psychiatrique sur la perception de la douleur en lien avec le problème somatique à l’épaule droite, aucun médecin n’a posé le moindre diagnostic précis. Plus encore, les médecins ayant suivi la recourante de près n’ont jamais jugé nécessaire de l’adresser à un psychiatre, pas plus que les deux psychologues consultés. Le même raisonnement vaut pour les troubles neurologiques rapportés – pour la première fois le 15 décembre 2022 – par l’intéressée, lesquels n’ont jamais été mentionnés par ses médecins traitants dans leurs différents rapports. Au contraire, le Dr C __________ fait état d’une évolution tout à fait favorable « au niveau du cerveau » dans son rapport du 30 octobre 2020 (pièce OAI 77, p. 421 en particulier), appréciation n’ayant jamais été médicalement remise en cause. Le rapport du 5 juin 2023 du Dr I __________ n’est d’aucune aide pour la recourante, dès lors qu’il lui recommande simplement de reprendre un suivi avec un psychiatre ou un psychologue, cette dernière ayant interrompu son précédent suivi psychologique six mois au préalable. Partant, c’est à juste titre que le SMR, respectivement l’OAI, n’a pas jugé utile d’investiguer davantage l’état de santé de l’assurée sous l’angle psychiatrique et neurologique.</w:t>
      </w:r>
    </w:p>
    <w:p>
      <w:r>
        <w:rPr>
          <w:b/>
        </w:rPr>
        <w:t>E. 3.2</w:t>
      </w:r>
    </w:p>
    <w:p>
      <w:r>
        <w:t>La recourante s’en prend également au degré d’invalidité arrêté par l’intimé, mais ne conteste ni la méthode de calcul utilisée ni les montants retenus à titre de revenus avec et sans invalidité. Elle retient une incapacité de travail et un taux d’invalidité de</w:t>
      </w:r>
    </w:p>
    <w:p>
      <w:r>
        <w:t>- 16 - 80 %, sans toutefois expliquer comment elle est arrivée à ces résultats et sans distinguer clairement ces deux notions.</w:t>
      </w:r>
    </w:p>
    <w:p>
      <w:r>
        <w:rPr>
          <w:b/>
        </w:rPr>
        <w:t>E. 3.2.1</w:t>
      </w:r>
    </w:p>
    <w:p>
      <w:r>
        <w:t>La Cour considère qu’il n’y a pas lieu de s’écarter de l’appréciation du SMR s’agissant de la capacité de travail, dans la mesure où les médecins consultés par la recourante, en particulier le Dr D __________, se prononcent uniquement sur la capacité de travail dans l’activité habituelle de brodeuse, pour laquelle l’incapacité de 60 % est admise, mais ne dit mot de la capacité de travail dans une activité adaptée. Le fait que le Dr I __________ – qui n’aborde d’ailleurs pas expressément cette question – mentionne une difficulté au déshabillage ne permet pas de déduire une quelconque incapacité de travail, d’autant moins dans une activité adaptée. Ainsi, l’avis de la Dresse G __________ n’est véritablement contredit par aucune pièce médicale au dossier, de sorte qu’il n’existe pas de motif de douter de la fiabilité des conclusions du SMR.</w:t>
      </w:r>
    </w:p>
    <w:p>
      <w:r>
        <w:rPr>
          <w:b/>
        </w:rPr>
        <w:t>E. 3.2.2</w:t>
      </w:r>
    </w:p>
    <w:p>
      <w:r>
        <w:t>En ce qui concerne le calcul du taux d’invalidité, c’est à juste titre que l’OAI a procédé en deux temps pour les périodes avant et après le 16 novembre 2021, date à partir de laquelle l’exercice à 100 %, avec un rendement normal, de n’importe quelle activité légère et adaptée à l’état de santé de la recourante était exigible. Selon la jurisprudence, lorsqu’il n'est pas possible d'établir ou d'évaluer de manière fiable les deux revenus provenant d'une activité lucrative, il faut appliquer la méthode extraordinaire d'évaluation de l'invalidité (ATF 128 V 30 consid. 1 ; arrêt du Tribunal fédéral 9C_283/ 2018 du 7 décembre 2018 consid. 4.2.1 et les références). Tel est le cas en l’espèce. En effet, il ressort notamment du rapport établi par l’enquêteur (pièce OAI 69) que la situation de la société de la recourante était trop instable, en raison notamment des différences significatives entre les revenus annoncés pour les années précédentes et du fort impact que la crise du Covid-19 avait eu sur l’activité déployée, pour que l’on puisse se fonder sur ses résultats pour estimer l’incidence de l’état de santé de l’assurée sur le chiffre d’affaires. L’OAI était donc fondé à appliquer la méthode extraordinaire de comparaison des revenus pour la période où seule une capacité de travail de 40 % était reconnue dans l’activité habituelle, la méthode générale de comparaison des revenus étant applicable pour la suite. Les calculs – non contestés – de l’OAI ne prêtant pas le flanc à la critique, il convient d’y renvoyer. Seul l’abattement pourrait être discuté, la jurisprudence du Tribunal fédéral admettant en principe un abattement de 20 à 25 % sur les données salariales de l’Enquête suisse sur la structure des salaires (ESS) dans le cas d’un assuré ne pouvant exercer qu’une activité mono-manuelle, ou d’une personne privée de l’usage de sa main</w:t>
      </w:r>
    </w:p>
    <w:p>
      <w:r>
        <w:t>- 17 - dominante (arrêts du Tribunal fédéral 9C_649/2018 du 15 janvier 2019 consid. 4.4 et 8C_58/2018 du 7 août 2018 consid. 5.3 et les références). Toutefois, même en appliquant l’abattement maximum de 25 %, le taux d’invalidité de la recourante reste inférieur au seuil de 40 % ouvrant le droit à une rente d’invalidité (salaire ESS 2020 valeur centrale tâches simples femme [4276 fr.] après adaptation à l’horaire de travail hebdomadaire usuel dans les entreprises [41.7 heures] et à l’évolution pour l’année 2021 [-0.20 %] = 4448 fr. 82, soit 53'385 fr. 84 pour l’année ; moins l’abattement de 25 % = 40'039.38 ; perte de capacité de gain = 25'267 fr. 62 ; degré d’invalidité = 25'267.62 ÷ 65'307 x 100 = 38.69 %). C’est ainsi avec raison que l’intimé a reconnu le droit à un trois-quarts de rente à la recourante qu’à partir du 1er mai 2021, soit six mois après la demande tardive de prestations au sens de l’article 29 alinéa 1 LAI du 26 novembre 2020. De même, le droit à ladite rente a effectivement pris fin le 28 février 2022, soit trois mois après la date à partir de laquelle une pleine capacité de travail sans baisse de rendement était médicalement reconnue, en l’espèce le 16 novembre 2021 (art. 88a al. 1 RAI).</w:t>
      </w:r>
    </w:p>
    <w:p>
      <w:r>
        <w:rPr>
          <w:b/>
        </w:rPr>
        <w:t>E. 3.2.3</w:t>
      </w:r>
    </w:p>
    <w:p>
      <w:r>
        <w:t>Enfin, la recourante ne conteste pas les limitations fonctionnelles retenues, à savoir une activité essentiellement mono-manuelle gauche voire bi-manuelle en appui des avant-bras, surtout en-dessous de l'horizontale et sans port de charges de plus 2-</w:t>
      </w:r>
    </w:p>
    <w:p>
      <w:r>
        <w:rPr>
          <w:b/>
        </w:rPr>
        <w:t>E. 3.3</w:t>
      </w:r>
    </w:p>
    <w:p>
      <w:r>
        <w:t>Dans ces conditions, l’OAI était en droit d’octroyer à la recourante un trois-quarts de rente d’invalidité limité à la période du 1er mai 2021 au 28 février 2022.</w:t>
      </w:r>
    </w:p>
    <w:p>
      <w:r>
        <w:rPr>
          <w:b/>
        </w:rPr>
        <w:t>E. 4.1</w:t>
      </w:r>
    </w:p>
    <w:p>
      <w:r>
        <w:t>En tous points mal fondé, le recours du 16 octobre 2023 doit être rejeté et la décision du 15 septembre précédent confirmée.</w:t>
      </w:r>
    </w:p>
    <w:p>
      <w:r>
        <w:rPr>
          <w:b/>
        </w:rPr>
        <w:t>E. 4.2</w:t>
      </w:r>
    </w:p>
    <w:p>
      <w:r>
        <w:t>Eu égard à ce qui précède, il n’y a pas lieu d’administrer d’autres moyens de preuves, à l’instar de l’expertise pluridisciplinaire requise par la recourante. Il ne sera pas non plus procédé à son propre interrogatoire, l’intéressée ayant eu l’occasion de faire valoir céans par écrit son point de vue, de sorte que la Cour ne voit pas quels faits nouveaux et pertinents cela permettrait d’établir. Il est rappelé que le droit d’être entendu, tel que garanti par l’article 29 alinéa 2 Cst., ne comprend pas le droit absolu d'être entendu oralement (ATF 140 I 68 consid. 9.6.1 ; sur l’appréciation anticipée des moyens de preuve en général : ATF 145 I 167 consid. 4.1, 140 I 285 consid. 6.3.1, 130 II 425 consid. 2.1 et 125 I 127 consid. 6c/cc).</w:t>
      </w:r>
    </w:p>
    <w:p>
      <w:r>
        <w:rPr>
          <w:b/>
        </w:rPr>
        <w:t>E. 5</w:t>
      </w:r>
    </w:p>
    <w:p>
      <w:r>
        <w:t>Les frais de justice, arrêtés à 500 fr. au regard des principes de la couverture des coûts et de l’équivalence, sont mis à charge de la recourante et prélevés sur l’avance déjà versée (art. 69 al. 1bis LAI). Eu égard à l’issue de la cause, il n’y a pas lieu d’allouer de dépens (art. 61 let. g LPGA a contrario et 91 al. 3 LPJA).</w:t>
      </w:r>
    </w:p>
    <w:p>
      <w:r>
        <w:t>Prononce</w:t>
      </w:r>
    </w:p>
    <w:p>
      <w:r>
        <w:t>1. Le recours est rejeté. 2. Les frais, par 500 francs, sont mis à la charge de X _________. 3. Il n’est pas alloué de dépens. Sion, le 3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